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DE" w:rsidRPr="00A426DE" w:rsidRDefault="00A426DE" w:rsidP="00A426DE">
      <w:pPr>
        <w:shd w:val="clear" w:color="auto" w:fill="FFFFFF"/>
        <w:spacing w:after="288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</w:pPr>
      <w:r w:rsidRPr="00A426DE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Итоговое сочинение (изложение)</w:t>
      </w:r>
    </w:p>
    <w:p w:rsidR="00A426DE" w:rsidRPr="00A426DE" w:rsidRDefault="00A426DE" w:rsidP="00A426DE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   </w:t>
      </w:r>
    </w:p>
    <w:p w:rsidR="00A426DE" w:rsidRPr="00A426DE" w:rsidRDefault="00A426DE" w:rsidP="00A426DE">
      <w:pPr>
        <w:rPr>
          <w:rFonts w:ascii="Times New Roman" w:hAnsi="Times New Roman" w:cs="Times New Roman"/>
          <w:b/>
          <w:bCs/>
          <w:color w:val="800080"/>
          <w:sz w:val="28"/>
          <w:szCs w:val="28"/>
          <w:bdr w:val="none" w:sz="0" w:space="0" w:color="auto" w:frame="1"/>
          <w:shd w:val="clear" w:color="auto" w:fill="FFFFFF"/>
        </w:rPr>
      </w:pPr>
      <w:r w:rsidRPr="00A426DE">
        <w:rPr>
          <w:rFonts w:ascii="Times New Roman" w:hAnsi="Times New Roman" w:cs="Times New Roman"/>
          <w:b/>
          <w:bCs/>
          <w:color w:val="800080"/>
          <w:sz w:val="28"/>
          <w:szCs w:val="28"/>
          <w:bdr w:val="none" w:sz="0" w:space="0" w:color="auto" w:frame="1"/>
          <w:shd w:val="clear" w:color="auto" w:fill="FFFFFF"/>
        </w:rPr>
        <w:t xml:space="preserve">Официальные документы </w:t>
      </w:r>
      <w:hyperlink r:id="rId4" w:history="1">
        <w:r w:rsidRPr="00A426DE">
          <w:rPr>
            <w:rStyle w:val="a3"/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  <w:shd w:val="clear" w:color="auto" w:fill="FFFFFF"/>
          </w:rPr>
          <w:t>https://fipi.ru/itogovoe-sochinenie</w:t>
        </w:r>
      </w:hyperlink>
    </w:p>
    <w:p w:rsidR="00A426DE" w:rsidRPr="00A426DE" w:rsidRDefault="00A426DE" w:rsidP="00A426DE">
      <w:pPr>
        <w:rPr>
          <w:rFonts w:ascii="Times New Roman" w:hAnsi="Times New Roman" w:cs="Times New Roman"/>
          <w:b/>
          <w:bCs/>
          <w:color w:val="800080"/>
          <w:sz w:val="28"/>
          <w:szCs w:val="28"/>
          <w:bdr w:val="none" w:sz="0" w:space="0" w:color="auto" w:frame="1"/>
          <w:shd w:val="clear" w:color="auto" w:fill="FFFFFF"/>
        </w:rPr>
      </w:pPr>
      <w:hyperlink r:id="rId5" w:history="1">
        <w:r w:rsidRPr="00A426DE">
          <w:rPr>
            <w:rStyle w:val="a3"/>
            <w:rFonts w:ascii="Times New Roman" w:hAnsi="Times New Roman" w:cs="Times New Roman"/>
            <w:b/>
            <w:bCs/>
            <w:color w:val="FFFFFF"/>
            <w:sz w:val="28"/>
            <w:szCs w:val="28"/>
            <w:bdr w:val="none" w:sz="0" w:space="0" w:color="auto" w:frame="1"/>
            <w:shd w:val="clear" w:color="auto" w:fill="095197"/>
          </w:rPr>
          <w:t>http://obrnadzor.gov.ru/gia/gia-11/itogovoe-sochinenie-izlozhenie/</w:t>
        </w:r>
      </w:hyperlink>
    </w:p>
    <w:p w:rsidR="00A426DE" w:rsidRPr="00A426DE" w:rsidRDefault="00A426DE" w:rsidP="00A426DE">
      <w:pPr>
        <w:rPr>
          <w:rFonts w:ascii="Times New Roman" w:hAnsi="Times New Roman" w:cs="Times New Roman"/>
          <w:b/>
          <w:sz w:val="28"/>
          <w:szCs w:val="28"/>
        </w:rPr>
      </w:pPr>
      <w:r w:rsidRPr="00A426DE">
        <w:rPr>
          <w:rFonts w:ascii="Times New Roman" w:hAnsi="Times New Roman" w:cs="Times New Roman"/>
          <w:b/>
          <w:sz w:val="28"/>
          <w:szCs w:val="28"/>
        </w:rPr>
        <w:t>Федеральные документы</w:t>
      </w:r>
    </w:p>
    <w:p w:rsidR="00A426DE" w:rsidRPr="00A426DE" w:rsidRDefault="00A426DE" w:rsidP="00A426DE">
      <w:pPr>
        <w:rPr>
          <w:rFonts w:ascii="Times New Roman" w:hAnsi="Times New Roman" w:cs="Times New Roman"/>
          <w:sz w:val="28"/>
          <w:szCs w:val="28"/>
        </w:rPr>
      </w:pPr>
      <w:r w:rsidRPr="00A426DE">
        <w:rPr>
          <w:rFonts w:ascii="Times New Roman" w:hAnsi="Times New Roman" w:cs="Times New Roman"/>
          <w:sz w:val="28"/>
          <w:szCs w:val="28"/>
        </w:rPr>
        <w:t>https://gas.kubannet.ru/?m=1111</w:t>
      </w:r>
    </w:p>
    <w:p w:rsidR="00A426DE" w:rsidRPr="00A426DE" w:rsidRDefault="00A426DE" w:rsidP="00A426DE">
      <w:pPr>
        <w:rPr>
          <w:rFonts w:ascii="Times New Roman" w:hAnsi="Times New Roman" w:cs="Times New Roman"/>
          <w:b/>
          <w:sz w:val="28"/>
          <w:szCs w:val="28"/>
        </w:rPr>
      </w:pPr>
      <w:r w:rsidRPr="00A426DE">
        <w:rPr>
          <w:rFonts w:ascii="Times New Roman" w:hAnsi="Times New Roman" w:cs="Times New Roman"/>
          <w:b/>
          <w:sz w:val="28"/>
          <w:szCs w:val="28"/>
        </w:rPr>
        <w:t>Региональные документы</w:t>
      </w:r>
    </w:p>
    <w:p w:rsidR="00A426DE" w:rsidRPr="00A426DE" w:rsidRDefault="00A426DE" w:rsidP="00A426DE">
      <w:pPr>
        <w:rPr>
          <w:rFonts w:ascii="Times New Roman" w:hAnsi="Times New Roman" w:cs="Times New Roman"/>
          <w:sz w:val="28"/>
          <w:szCs w:val="28"/>
        </w:rPr>
      </w:pPr>
      <w:r w:rsidRPr="00A426DE">
        <w:rPr>
          <w:rFonts w:ascii="Times New Roman" w:hAnsi="Times New Roman" w:cs="Times New Roman"/>
          <w:sz w:val="28"/>
          <w:szCs w:val="28"/>
        </w:rPr>
        <w:t>https://gas.kubannet.ru/?m=1112</w:t>
      </w:r>
    </w:p>
    <w:p w:rsidR="00A426DE" w:rsidRDefault="00A426DE" w:rsidP="00A426DE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A426DE" w:rsidRPr="00A426DE" w:rsidRDefault="00A426DE" w:rsidP="00A426DE">
      <w:pPr>
        <w:shd w:val="clear" w:color="auto" w:fill="FFFFFF"/>
        <w:spacing w:after="0" w:line="240" w:lineRule="atLeast"/>
        <w:jc w:val="center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О датах проведения итогового сочинения (изложения), порядке проведения и проверки итогового сочинения (изложения), сроках и местах регистрации 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РАСПИСАНИЕ ПРОВЕДЕНИЯ ИТОГОВОГО СОЧИНЕНИЯ (ИЗЛОЖЕНИЯ)</w:t>
      </w:r>
    </w:p>
    <w:tbl>
      <w:tblPr>
        <w:tblW w:w="850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9"/>
        <w:gridCol w:w="5103"/>
      </w:tblGrid>
      <w:tr w:rsidR="00A426DE" w:rsidRPr="00A426DE" w:rsidTr="00A426DE">
        <w:tc>
          <w:tcPr>
            <w:tcW w:w="3399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426DE" w:rsidRPr="00A426DE" w:rsidRDefault="00A426DE" w:rsidP="00A426DE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  <w:r w:rsidRPr="00A426D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Основной срок</w:t>
            </w:r>
          </w:p>
        </w:tc>
        <w:tc>
          <w:tcPr>
            <w:tcW w:w="5103" w:type="dxa"/>
            <w:tcBorders>
              <w:top w:val="single" w:sz="8" w:space="0" w:color="D1D1D1"/>
              <w:left w:val="nil"/>
              <w:bottom w:val="single" w:sz="8" w:space="0" w:color="D1D1D1"/>
              <w:right w:val="single" w:sz="8" w:space="0" w:color="D1D1D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426DE" w:rsidRPr="00A426DE" w:rsidRDefault="00A426DE" w:rsidP="00A426DE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  <w:r w:rsidRPr="00A426D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4 декабря 2024 года</w:t>
            </w:r>
          </w:p>
        </w:tc>
      </w:tr>
      <w:tr w:rsidR="00A426DE" w:rsidRPr="00A426DE" w:rsidTr="00A426DE">
        <w:tc>
          <w:tcPr>
            <w:tcW w:w="3399" w:type="dxa"/>
            <w:tcBorders>
              <w:top w:val="nil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426DE" w:rsidRPr="00A426DE" w:rsidRDefault="00A426DE" w:rsidP="00A426DE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  <w:r w:rsidRPr="00A426D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Дополнительные сроки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D1D1D1"/>
              <w:right w:val="single" w:sz="8" w:space="0" w:color="D1D1D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426DE" w:rsidRPr="00A426DE" w:rsidRDefault="00A426DE" w:rsidP="00A426DE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  <w:r w:rsidRPr="00A426D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5 февраля, 9 апреля 2025 года</w:t>
            </w:r>
          </w:p>
        </w:tc>
      </w:tr>
    </w:tbl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Итоговое сочинение (изложение) проводится в первую среду декабря последнего года обучения.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К написанию итогового сочинения (изложения) в дополнительные даты в текущем учебном году (в первую среду февраля и вторую среду апреля) допускаются: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1) участники итогового сочинения (изложения) (за исключением лиц, указанных в пункте 24 Порядка), получившие по итоговому сочинению (изложению) неудовлетворительный результат («незачет»);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2) участники итогового сочинения (изложения) (за исключением лиц, указанных в пункте 24 Порядка), удаленные с итогового сочинения (изложения) за нарушение требований, установленных подпунктом 1 пункта 28 Порядка;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3) 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4) 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УЧАСТНИКИ ИТОГОВОГО СОЧИНЕНИЯ (ИЗЛОЖЕНИЯ)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Итоговое сочинение (изложение) как условие допуска к ГИА-11 проводится </w:t>
      </w:r>
      <w:proofErr w:type="gramStart"/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для</w:t>
      </w:r>
      <w:proofErr w:type="gramEnd"/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: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обучающихся XI (XII) классов;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среднего общего образования в очной, </w:t>
      </w:r>
      <w:proofErr w:type="spellStart"/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очно-заочной</w:t>
      </w:r>
      <w:proofErr w:type="spellEnd"/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или заочной формах, а также для лиц, освоивших образовательные программы среднего общего образования в форме семейного образования или самообразования;</w:t>
      </w:r>
      <w:proofErr w:type="gramEnd"/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lastRenderedPageBreak/>
        <w:t>лиц, обучавшихся по не имеющей государственной аккредитации образовательной программе среднего общего образования, а также обучающихся,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 экстерном в организации, осуществляющей образовательную деятельность по имеющей государственную аккредитацию образовательной</w:t>
      </w:r>
      <w:proofErr w:type="gramEnd"/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программе среднего общего образования с последующим получением аттестата о среднем общем образовании);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обучающихся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  <w:proofErr w:type="gramEnd"/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обучающихся с ограниченными возможностями здоровья, детей-инвалидов и инвалидов по образовательным программам среднего общего образования.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Итоговое сочинение в целях использования его результатов при приеме в образовательные организации высшего образования по желанию</w:t>
      </w:r>
      <w:r w:rsidRPr="00A426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</w:t>
      </w: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также может проводиться </w:t>
      </w:r>
      <w:proofErr w:type="gramStart"/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для</w:t>
      </w:r>
      <w:proofErr w:type="gramEnd"/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: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лиц, освоивших образовательные программы среднего общего образования в предыдущие годы и имеющих документ об образовании, подтверждающий получение среднего общего образования (или образовательные программы среднего (полного) общего образования — для лиц, получивших документ об образовании, подтверждающий получение среднего (полного) общего образования, до 1 сентября 2013 года);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граждан, имеющих среднее общее образование, полученное в иностранных образовательных организациях;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лиц, обучающихся по образовательным программам среднего профессионального образования;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лиц, получающих среднее общее образование в иностранных образовательных организациях;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лиц, допущенных к ГИА-11 в предыдущие годы, но не прошедших ГИА-11 или получивших на ГИА-11 неудовлетворительные результаты более чем по одному обязательному учебному предмету, либо получивших повторно неудовлетворительный результат по одному из этих предметов на ГИА-11 в дополнительные сроки.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Изложение вправе писать следующие категории лиц: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обучающиеся XI (XII) классов с ограниченными возможностями здоровья;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лица, обучающиеся по не имеющей государственной аккредитации образовательной программе среднего общего образования, а также обучающиеся, получающие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ГИА-11 экстерном в организации, осуществляющей образовательную деятельность по имеющей государственную аккредитацию образовательной</w:t>
      </w:r>
      <w:proofErr w:type="gramEnd"/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программе среднего общего образования с последующим получением аттестата о среднем общем образовании) с ограниченными возможностями здоровья;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дети-инвалиды и инвалиды;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lastRenderedPageBreak/>
        <w:t>Повторно допускаются к написанию итогового сочинения (изложения) в дополнительные сроки в текущем учебном году: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получившие по итоговому сочинению (изложению) неудовлетворительный результат («незачет»);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удаленные с итогового сочинения (изложения) за нарушение требований, установленных пунктом 27 настоящего Порядка;</w:t>
      </w:r>
      <w:proofErr w:type="gramEnd"/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Обучающиеся, получившие неудовлетворительный результат («незачет») за итоговое сочинение (изложение),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расписанием проведения итогового сочинения (изложения).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ПОРЯДОК ПОДАЧИ ЗАЯВЛЕНИЯ НА УЧАСТИЕ В ИТОГОВОМ СОЧИНЕНИИ (ИЗЛОЖЕНИИ)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Для участия в итоговом сочинении (изложении) необходимо подать заявление не </w:t>
      </w:r>
      <w:proofErr w:type="gramStart"/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позднее</w:t>
      </w:r>
      <w:proofErr w:type="gramEnd"/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чем за две недели до начала проведения итогового сочинения (изложения):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обучающимся</w:t>
      </w:r>
      <w:proofErr w:type="gramEnd"/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– в образовательные организации, в которых обучающиеся осваивают образовательные программы среднего общего образования;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лицам, проходящим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лиц;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лицам, участвующим в итоговом сочинении по желанию – в места регистрации для участия в написании итогового сочинения, определенные органами исполнительной власти субъектов Российской Федерации, осуществляющими государственное управление в сфере образования;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лиц со справкой об обучении, участвующим в итоговом сочинении по желанию — в организации, осуществляющие образовательную деятельность, в которых указанные лица восстанавливаются на срок, необходимый для прохождения ГИА-11.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Участники итогового сочинения (изложения) с ограниченными возможностями здоровья при подаче заявлений об участии в итоговом сочинении предъявляют оригинал или надлежащим образом заверенную копию рекомендаций ПМПК.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Участники итогового сочинения (изложения) – дети-инвалиды и инвалиды — оригинал или надлежащим образом заверенную копию справки, подтверждающей инвалидность.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Лица, участвующие в сочинении по желанию, самостоятельно выбирают дату участия в итоговом сочинении из числа </w:t>
      </w:r>
      <w:proofErr w:type="gramStart"/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установленных</w:t>
      </w:r>
      <w:proofErr w:type="gramEnd"/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расписанием проведения итогового сочинения (изложения). Выбранную дату участия в итоговом сочинении такие лица указывают в заявлении.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ПРОДОЛЖИТЕЛЬНОСТЬ ПРОВЕДЕНИЯ ИТОГОВОГО СОЧИНЕНИЯ (ИЗЛОЖЕНИЯ)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lastRenderedPageBreak/>
        <w:t>Продолжительность написания итогового сочинения (изложения) составляет3 часа 55 минут (235 минут)</w:t>
      </w:r>
      <w:proofErr w:type="gramStart"/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.В</w:t>
      </w:r>
      <w:proofErr w:type="gramEnd"/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продолжительность написания итогового сочинения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бланков и др.), а также на перенос ассистентом в стандартные бланки записи итогового сочинения (изложения), выполненного слепыми и слабовидящими участниками итогового сочинения (изложения) в специально предусмотренных тетрадях, выполненного в бланках итогового сочинения (изложения) увеличенного размера, итогового сочинения (изложения), выполненного на компьютере, устных итоговых сочинений (изложений) из аудиозаписей.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Для участников итогового сочинения (изложения) с ОВЗ, в том числе лиц, обучающихся по состоянию здоровья на дому, в медицинских организациях, участников итогового сочинения (изложения) – детей-инвалидов и инвалидов продолжительность написания итогового сочинения (изложения) увеличивается на 1,5 часа.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При продолжительности итогового сочинения (изложения) более четырех часов организуется питание участников итогового сочинения (изложения) в порядке, определенном ОИВ.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Итоговое сочинение (изложение) проводится в образовательных организациях, в которых обучающиеся осваивают образовательные программы среднего общего образования, и (или) местах проведения итогового сочинения (изложения), определенных ОИВ.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Итоговое сочинение (изложение) начинается в 10.00 по местному времени.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Во время проведения итогового сочинения (изложения) на рабочем столе участников итогового сочинения (изложения) помимо бланка регистрации и бланков записи (дополнительных бланков записи), находятся: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ind w:hanging="360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Symbol" w:eastAsia="Times New Roman" w:hAnsi="Symbol" w:cs="Arial"/>
          <w:color w:val="444444"/>
          <w:sz w:val="20"/>
          <w:szCs w:val="20"/>
          <w:bdr w:val="none" w:sz="0" w:space="0" w:color="auto" w:frame="1"/>
          <w:lang w:eastAsia="ru-RU"/>
        </w:rPr>
        <w:t></w:t>
      </w:r>
      <w:r w:rsidRPr="00A426D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ru-RU"/>
        </w:rPr>
        <w:t>        </w:t>
      </w: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ручка (</w:t>
      </w:r>
      <w:proofErr w:type="spellStart"/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гелевая</w:t>
      </w:r>
      <w:proofErr w:type="spellEnd"/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или капиллярная с чернилами черного цвета); документ, удостоверяющий личность;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ind w:hanging="360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Symbol" w:eastAsia="Times New Roman" w:hAnsi="Symbol" w:cs="Arial"/>
          <w:color w:val="444444"/>
          <w:sz w:val="20"/>
          <w:szCs w:val="20"/>
          <w:bdr w:val="none" w:sz="0" w:space="0" w:color="auto" w:frame="1"/>
          <w:lang w:eastAsia="ru-RU"/>
        </w:rPr>
        <w:t></w:t>
      </w:r>
      <w:r w:rsidRPr="00A426D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ru-RU"/>
        </w:rPr>
        <w:t>        </w:t>
      </w: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для участников итогового сочинения – орфографический словарь, выданный по месту проведения итогового сочинения; для участников итогового изложения – орфографический и толковый словари, выданные по месту проведения итогового изложения;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ind w:hanging="360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Symbol" w:eastAsia="Times New Roman" w:hAnsi="Symbol" w:cs="Arial"/>
          <w:color w:val="444444"/>
          <w:sz w:val="20"/>
          <w:szCs w:val="20"/>
          <w:bdr w:val="none" w:sz="0" w:space="0" w:color="auto" w:frame="1"/>
          <w:lang w:eastAsia="ru-RU"/>
        </w:rPr>
        <w:t></w:t>
      </w:r>
      <w:r w:rsidRPr="00A426D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ru-RU"/>
        </w:rPr>
        <w:t>        </w:t>
      </w: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лекарства (при необходимости);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ind w:hanging="360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Symbol" w:eastAsia="Times New Roman" w:hAnsi="Symbol" w:cs="Arial"/>
          <w:color w:val="444444"/>
          <w:sz w:val="20"/>
          <w:szCs w:val="20"/>
          <w:bdr w:val="none" w:sz="0" w:space="0" w:color="auto" w:frame="1"/>
          <w:lang w:eastAsia="ru-RU"/>
        </w:rPr>
        <w:t></w:t>
      </w:r>
      <w:r w:rsidRPr="00A426D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ru-RU"/>
        </w:rPr>
        <w:t>        </w:t>
      </w: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продукты питания для дополнительного приема пищи (перекус), </w:t>
      </w:r>
      <w:proofErr w:type="spellStart"/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бутилированная</w:t>
      </w:r>
      <w:proofErr w:type="spellEnd"/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ind w:hanging="360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Symbol" w:eastAsia="Times New Roman" w:hAnsi="Symbol" w:cs="Arial"/>
          <w:color w:val="444444"/>
          <w:sz w:val="20"/>
          <w:szCs w:val="20"/>
          <w:bdr w:val="none" w:sz="0" w:space="0" w:color="auto" w:frame="1"/>
          <w:lang w:eastAsia="ru-RU"/>
        </w:rPr>
        <w:t></w:t>
      </w:r>
      <w:r w:rsidRPr="00A426D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ru-RU"/>
        </w:rPr>
        <w:t>        </w:t>
      </w: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инструкция для участников итогового сочинения (изложения);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ind w:hanging="360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Symbol" w:eastAsia="Times New Roman" w:hAnsi="Symbol" w:cs="Arial"/>
          <w:color w:val="444444"/>
          <w:sz w:val="20"/>
          <w:szCs w:val="20"/>
          <w:bdr w:val="none" w:sz="0" w:space="0" w:color="auto" w:frame="1"/>
          <w:lang w:eastAsia="ru-RU"/>
        </w:rPr>
        <w:t></w:t>
      </w:r>
      <w:r w:rsidRPr="00A426D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ru-RU"/>
        </w:rPr>
        <w:t>        </w:t>
      </w: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черновики;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ind w:hanging="360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Symbol" w:eastAsia="Times New Roman" w:hAnsi="Symbol" w:cs="Arial"/>
          <w:color w:val="444444"/>
          <w:sz w:val="20"/>
          <w:szCs w:val="20"/>
          <w:bdr w:val="none" w:sz="0" w:space="0" w:color="auto" w:frame="1"/>
          <w:lang w:eastAsia="ru-RU"/>
        </w:rPr>
        <w:t></w:t>
      </w:r>
      <w:r w:rsidRPr="00A426D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ru-RU"/>
        </w:rPr>
        <w:t>        </w:t>
      </w: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для участников итогового сочинения (изложения) с ОВЗ, участников итогового сочинения (изложения) – детей-инвалидов и инвалидов – специальные технические средства (при необходимости).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Во время проведения итогового сочинения (изложения) участникам итогового сочинения (изложения) запрещается иметь при себе средства связи, фото-, аудио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словари, пользоваться текстами литературного материала (художественные произведения, дневники, мемуары, публицистика, другие литературные источники).</w:t>
      </w:r>
      <w:proofErr w:type="gramEnd"/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(изложения).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Проверка итогового сочинения (изложения) участников итогового сочинения (изложения) осуществляется лицами, входящими в состав комиссии по проверке итогового сочинения (изложения), в соответствии с критериями оценивания итогового сочинения (изложения), </w:t>
      </w: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lastRenderedPageBreak/>
        <w:t xml:space="preserve">разработанными </w:t>
      </w:r>
      <w:proofErr w:type="spellStart"/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Рособрнадзором</w:t>
      </w:r>
      <w:proofErr w:type="spellEnd"/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. Результатом проверки итогового сочинения (изложения) является «зачет» или «незачет».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Проверка итогового сочинения (изложения) и обработка материалов итогового сочинения (изложения) должны завершиться в следующие сроки: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1) итоговое сочинение (изложение), проведенное в основную дату проведения итогового сочинения (изложения) и в первую среду февраля, — не позднее чем через двенадцать календарных дней с соответствующей даты проведения итогового сочинения (изложения);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2) итоговое сочинение (изложение), проведенное во вторую среду апреля, а также в дополнительную дату, определенную </w:t>
      </w:r>
      <w:proofErr w:type="spellStart"/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Рособрнадзором</w:t>
      </w:r>
      <w:proofErr w:type="spellEnd"/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, — не позднее чем через восемь календарных дней </w:t>
      </w:r>
      <w:proofErr w:type="gramStart"/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с даты проведения</w:t>
      </w:r>
      <w:proofErr w:type="gramEnd"/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итогового сочинения (изложения).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ПОРЯДОК ПРОВЕРКИ И ОЦЕНИВАНИЯ ИТОГОВОГО СОЧИНЕНИЯ (ИЗЛОЖЕНИЯ)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Каждое итоговое сочинение (изложение) участников итогового сочинения (изложения) проверяется одним экспертом один раз.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К проверке по критериям оценивания, разработанным </w:t>
      </w:r>
      <w:proofErr w:type="spellStart"/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Рособрнадзором</w:t>
      </w:r>
      <w:proofErr w:type="spellEnd"/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, допускаются итоговые сочинения (изложения), соответствующие установленным требованиям.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ТРЕБОВАНИЯ К СОЧИНЕНИЮ: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Требование № 1. «Объем итогового сочинения»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Рекомендуемое количество слов – от 350.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Максимальное количество слов в итоговом сочинении не устанавливается. Если в итоговом сочинении менее 250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итоговое сочинение не проверяется по требованию № 2 «Самостоятельность написания итогового сочинения (изложения)» и критериям оценивания).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В клетки по всем требованиям (№ 1 и № 2) и критериям оценивания выставляется «незачет». В поле «Результат проверки сочинения (изложения)» ставится «незачет».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Требование № 2. «Самостоятельность написания итогового сочинения»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Итоговое сочинение выполняется самостоятельно.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 итогового сочинения.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Если итоговое сочинение признано несамостоятельным, то выставляется «незачет» за невыполнение требования № 2 и «незачет» за работу в целом (такое итоговое сочинение не проверяется по критериям оценивания).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Выставляется «незачет» за невыполнение требования № 2. В клетки по всем критериям оценивания выставляется «незачет». В поле «Результат проверки сочинения (изложения)» ставится «незачет».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ТРЕБОВАНИЯ К ИЗЛОЖЕНИЮ: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Требование № 1. «Объем итогового изложения»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Рекомендуемое количество слов – от 200.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Максимальное количество слов в итоговом изложении не устанавливается: участник итогового изложения должен исходить из содержания исходного текста. Если в итоговом изложении менее 150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итоговое изложение не проверяется по требованию № 2 «Самостоятельность написания итогового сочинения (изложения)» и критериям оценивания).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lastRenderedPageBreak/>
        <w:t>В клетки по всем требованиям (№ 1 и № 2) и критериям оценивания выставляется «незачет». В поле «Результат проверки сочинения (изложения)» ставится «незачет».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Требование № 2. «Самостоятельность написания итогового изложения»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Итоговое изложение выполняется самостоятельно.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Не допускается списывание изложения из какого-либо источника (работа другого участника, исходный текст и др.).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Если итоговое изложение признано несамостоятельным, то выставляется «незачет» за невыполнение требования № 2 и «незачет» за работу в целом (такое изложение не проверяется по критериям оценивания).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Выставляется «незачет» за невыполнение требования № 2. В клетки по всем критериям оценивания выставляется «незачет». В поле «Результат проверки сочинения (изложения)» ставится «незачет».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Если сочинение (изложение) не соответствует требованию № 1 и (или) требованию № 2, то выставляется «незачет» за соответствующее требование и «незачет» за всю работу в целом. В клетки по всем критериям оценивания выставляется «незачет». В поле «Результат проверки сочинения (изложения)» ставится «незачет».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Итоговое сочинение (изложение), соответствующее установленным требованиям, оценивается по критериям.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Критерии оценивания итогового сочинения и изложения образовательными организациями, реализующими образовательные программы среднего общего образования, сближены, что видно из приведенной ниже сопоставительной таблицы:</w:t>
      </w:r>
    </w:p>
    <w:tbl>
      <w:tblPr>
        <w:tblW w:w="935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84"/>
        <w:gridCol w:w="3969"/>
      </w:tblGrid>
      <w:tr w:rsidR="00A426DE" w:rsidRPr="00A426DE" w:rsidTr="00A426DE">
        <w:tc>
          <w:tcPr>
            <w:tcW w:w="5384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426DE" w:rsidRPr="00A426DE" w:rsidRDefault="00A426DE" w:rsidP="00A426DE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  <w:r w:rsidRPr="00A426D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Сочинение</w:t>
            </w:r>
          </w:p>
        </w:tc>
        <w:tc>
          <w:tcPr>
            <w:tcW w:w="3969" w:type="dxa"/>
            <w:tcBorders>
              <w:top w:val="single" w:sz="8" w:space="0" w:color="D1D1D1"/>
              <w:left w:val="nil"/>
              <w:bottom w:val="single" w:sz="8" w:space="0" w:color="D1D1D1"/>
              <w:right w:val="single" w:sz="8" w:space="0" w:color="D1D1D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426DE" w:rsidRPr="00A426DE" w:rsidRDefault="00A426DE" w:rsidP="00A426DE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  <w:r w:rsidRPr="00A426D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Изложение</w:t>
            </w:r>
          </w:p>
        </w:tc>
      </w:tr>
      <w:tr w:rsidR="00A426DE" w:rsidRPr="00A426DE" w:rsidTr="00A426DE">
        <w:tc>
          <w:tcPr>
            <w:tcW w:w="5384" w:type="dxa"/>
            <w:tcBorders>
              <w:top w:val="nil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426DE" w:rsidRPr="00A426DE" w:rsidRDefault="00A426DE" w:rsidP="00A426DE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  <w:r w:rsidRPr="00A426D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1. Соответствие теме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D1D1D1"/>
              <w:right w:val="single" w:sz="8" w:space="0" w:color="D1D1D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426DE" w:rsidRPr="00A426DE" w:rsidRDefault="00A426DE" w:rsidP="00A426DE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  <w:r w:rsidRPr="00A426D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1. Содержание изложения</w:t>
            </w:r>
          </w:p>
        </w:tc>
      </w:tr>
      <w:tr w:rsidR="00A426DE" w:rsidRPr="00A426DE" w:rsidTr="00A426DE">
        <w:tc>
          <w:tcPr>
            <w:tcW w:w="5384" w:type="dxa"/>
            <w:tcBorders>
              <w:top w:val="nil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426DE" w:rsidRPr="00A426DE" w:rsidRDefault="00A426DE" w:rsidP="00A426DE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  <w:r w:rsidRPr="00A426D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2. Аргументация. Привлечение литературного материала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D1D1D1"/>
              <w:right w:val="single" w:sz="8" w:space="0" w:color="D1D1D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426DE" w:rsidRPr="00A426DE" w:rsidRDefault="00A426DE" w:rsidP="00A426DE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  <w:r w:rsidRPr="00A426D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2. Логичность изложения</w:t>
            </w:r>
          </w:p>
        </w:tc>
      </w:tr>
      <w:tr w:rsidR="00A426DE" w:rsidRPr="00A426DE" w:rsidTr="00A426DE">
        <w:tc>
          <w:tcPr>
            <w:tcW w:w="5384" w:type="dxa"/>
            <w:tcBorders>
              <w:top w:val="nil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426DE" w:rsidRPr="00A426DE" w:rsidRDefault="00A426DE" w:rsidP="00A426DE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  <w:r w:rsidRPr="00A426D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3. Композиция и логика рассуждения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D1D1D1"/>
              <w:right w:val="single" w:sz="8" w:space="0" w:color="D1D1D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426DE" w:rsidRPr="00A426DE" w:rsidRDefault="00A426DE" w:rsidP="00A426DE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  <w:r w:rsidRPr="00A426D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3. Использование элементов стиля исходного текста</w:t>
            </w:r>
          </w:p>
        </w:tc>
      </w:tr>
      <w:tr w:rsidR="00A426DE" w:rsidRPr="00A426DE" w:rsidTr="00A426DE">
        <w:tc>
          <w:tcPr>
            <w:tcW w:w="5384" w:type="dxa"/>
            <w:tcBorders>
              <w:top w:val="nil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426DE" w:rsidRPr="00A426DE" w:rsidRDefault="00A426DE" w:rsidP="00A426DE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  <w:r w:rsidRPr="00A426D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4. Качество письменной речи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D1D1D1"/>
              <w:right w:val="single" w:sz="8" w:space="0" w:color="D1D1D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426DE" w:rsidRPr="00A426DE" w:rsidRDefault="00A426DE" w:rsidP="00A426DE">
            <w:pPr>
              <w:spacing w:after="0" w:line="36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A426DE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</w:tr>
      <w:tr w:rsidR="00A426DE" w:rsidRPr="00A426DE" w:rsidTr="00A426DE">
        <w:tc>
          <w:tcPr>
            <w:tcW w:w="5384" w:type="dxa"/>
            <w:tcBorders>
              <w:top w:val="nil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426DE" w:rsidRPr="00A426DE" w:rsidRDefault="00A426DE" w:rsidP="00A426DE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  <w:r w:rsidRPr="00A426D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5. Грамотность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D1D1D1"/>
              <w:right w:val="single" w:sz="8" w:space="0" w:color="D1D1D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426DE" w:rsidRPr="00A426DE" w:rsidRDefault="00A426DE" w:rsidP="00A426DE">
            <w:pPr>
              <w:spacing w:after="0" w:line="36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A426DE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</w:tr>
    </w:tbl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Для получения оценки «зачет» необходимо иметь положительный результат по трем критериям (по критериям № 1 и № 2 – в обязательном порядке), а также «зачет» по одному из других критериев.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ОЗНАКОМЛЕНИЕ С РЕЗУЛЬТАТАМИ ИТОГОВОГО СОЧИНЕНИЯ (ИЗЛОЖЕНИЯ) И СРОК ДЕЙСТВИЯ ИТОГОВОГО СОЧИНЕНИЯ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С результатами итогового сочинения (изложения) участники итогового сочинения (изложения) могут ознакомиться в образовательных организациях или в местах регистрации для участия в итоговом сочинении (изложении).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По решению ОИВ ознакомление участников с результатами итогового сочинения (изложения) может быть организовано в сети «Интернет» в соответствии с требованиями законодательства Российской Федерации в области защиты персональных данных.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Итоговое сочинение (изложение) как допуск к ГИА – бессрочно.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С результатами итогового сочинения (изложения) участники могут ознакомиться в образовательных организациях или в местах регистрации на участие в итоговом сочинении (изложении) и личном кабинете участника итоговой аттестации </w:t>
      </w:r>
      <w:hyperlink r:id="rId6" w:history="1">
        <w:r w:rsidRPr="00A426D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https://rcoi02.ru/gia11_result/</w:t>
        </w:r>
      </w:hyperlink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.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lastRenderedPageBreak/>
        <w:t>ПРЕДОСТАВЛЕНИЕ ИТОГОВОГО СОЧИНЕНИЯ В ВУЗЫ В КАЧЕСТВЕ ИНДИВИДУАЛЬНОГО ДОСТИЖЕНИЯ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ФИС.</w:t>
      </w:r>
    </w:p>
    <w:p w:rsidR="00A426DE" w:rsidRPr="00A426DE" w:rsidRDefault="00A426DE" w:rsidP="00A426DE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В соответствии с пунктом 33 Порядка приема в рамках приема на </w:t>
      </w:r>
      <w:proofErr w:type="gramStart"/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обучение по программам</w:t>
      </w:r>
      <w:proofErr w:type="gramEnd"/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бакалавриата</w:t>
      </w:r>
      <w:proofErr w:type="spellEnd"/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, программам </w:t>
      </w:r>
      <w:proofErr w:type="spellStart"/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специалитета</w:t>
      </w:r>
      <w:proofErr w:type="spellEnd"/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образовательная организация высшего образования может начислять баллы за оценку, выставленную образовательной организацией высшего образования по результатам проверки итогового сочинения, являющегося условием допуска к ГИА. Сумма баллов, начисленных </w:t>
      </w:r>
      <w:proofErr w:type="gramStart"/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поступающему</w:t>
      </w:r>
      <w:proofErr w:type="gramEnd"/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за индивидуальные достижения, не может быть более 10 баллов. Баллы, начисленные за индивидуальные достижения, включаются в сумму конкурсных баллов. Перечень индивидуальных достижений, учитываемых при равенстве поступающих по критериям ранжирования, указанным в подпунктах 1-4 пункта 76, в подпунктах 1-4 пункта 77 и подпунктах 1-3 пункта 97.9 Порядка приема, устанавливается образовательной организацией высшего образования самостоятельно. </w:t>
      </w:r>
      <w:proofErr w:type="gramStart"/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В случае равенства поступающих по указанным достижениям перечень таких достижений может быть дополнен в период проведения приема.</w:t>
      </w:r>
      <w:proofErr w:type="gramEnd"/>
    </w:p>
    <w:p w:rsidR="00A426DE" w:rsidRPr="00A426DE" w:rsidRDefault="00A426DE" w:rsidP="00A426DE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A426DE" w:rsidRPr="00A426DE" w:rsidRDefault="00A426DE" w:rsidP="00A426DE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A426DE" w:rsidRPr="00A426DE" w:rsidRDefault="00A426DE" w:rsidP="00A426DE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Arial" w:eastAsia="Times New Roman" w:hAnsi="Arial" w:cs="Arial"/>
          <w:b/>
          <w:bCs/>
          <w:color w:val="800080"/>
          <w:sz w:val="23"/>
          <w:lang w:eastAsia="ru-RU"/>
        </w:rPr>
        <w:t xml:space="preserve">Сроки и места регистрации на участие в итоговом сочинении (изложении) для участников ЕГЭ </w:t>
      </w:r>
      <w:proofErr w:type="gramStart"/>
      <w:r w:rsidRPr="00A426DE">
        <w:rPr>
          <w:rFonts w:ascii="Arial" w:eastAsia="Times New Roman" w:hAnsi="Arial" w:cs="Arial"/>
          <w:b/>
          <w:bCs/>
          <w:color w:val="800080"/>
          <w:sz w:val="23"/>
          <w:lang w:eastAsia="ru-RU"/>
        </w:rPr>
        <w:t>в</w:t>
      </w:r>
      <w:proofErr w:type="gramEnd"/>
      <w:r w:rsidRPr="00A426DE">
        <w:rPr>
          <w:rFonts w:ascii="Arial" w:eastAsia="Times New Roman" w:hAnsi="Arial" w:cs="Arial"/>
          <w:b/>
          <w:bCs/>
          <w:color w:val="800080"/>
          <w:sz w:val="23"/>
          <w:lang w:eastAsia="ru-RU"/>
        </w:rPr>
        <w:t xml:space="preserve"> </w:t>
      </w:r>
      <w:proofErr w:type="gramStart"/>
      <w:r w:rsidRPr="00A426DE">
        <w:rPr>
          <w:rFonts w:ascii="Arial" w:eastAsia="Times New Roman" w:hAnsi="Arial" w:cs="Arial"/>
          <w:b/>
          <w:bCs/>
          <w:color w:val="800080"/>
          <w:sz w:val="23"/>
          <w:lang w:eastAsia="ru-RU"/>
        </w:rPr>
        <w:t>Кореновском</w:t>
      </w:r>
      <w:proofErr w:type="gramEnd"/>
      <w:r w:rsidRPr="00A426DE">
        <w:rPr>
          <w:rFonts w:ascii="Arial" w:eastAsia="Times New Roman" w:hAnsi="Arial" w:cs="Arial"/>
          <w:b/>
          <w:bCs/>
          <w:color w:val="800080"/>
          <w:sz w:val="23"/>
          <w:lang w:eastAsia="ru-RU"/>
        </w:rPr>
        <w:t xml:space="preserve"> районе</w:t>
      </w:r>
    </w:p>
    <w:p w:rsidR="00A426DE" w:rsidRPr="00A426DE" w:rsidRDefault="00A426DE" w:rsidP="00A426DE">
      <w:pPr>
        <w:shd w:val="clear" w:color="auto" w:fill="FFFFFF"/>
        <w:spacing w:after="36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    Согласно федеральному Порядку проведения государственной итоговой аттестации по образовательным программам среднего общего образования выпускники прошлых лет, лица, обучающиеся по программам среднего профессионального образования, не имеющие среднего образования, а также обучающиеся, получающие среднее общее образование в иностранных образовательных организациях, вправе писать итоговое сочинение по желанию. Указанные лица для участия в итоговом сочинении подают заявление не позднее, чем за две недели до даты проведения итогового сочинения в места регистрации. С результатами итогового сочинения участники могут ознакомиться в местах регистрации на участие в итоговом сочинении.</w:t>
      </w:r>
    </w:p>
    <w:p w:rsidR="00A426DE" w:rsidRPr="00A426DE" w:rsidRDefault="00A426DE" w:rsidP="00A426DE">
      <w:pPr>
        <w:spacing w:after="360" w:line="360" w:lineRule="atLeast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A426DE" w:rsidRPr="00A426DE" w:rsidRDefault="00A426DE" w:rsidP="00A426D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A426DE" w:rsidRPr="00A426DE" w:rsidRDefault="00A426DE" w:rsidP="00A426DE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Arial" w:eastAsia="Times New Roman" w:hAnsi="Arial" w:cs="Arial"/>
          <w:color w:val="444444"/>
          <w:sz w:val="23"/>
          <w:szCs w:val="23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6.75pt;height:104.25pt"/>
        </w:pict>
      </w:r>
      <w:r w:rsidRPr="00A426DE">
        <w:rPr>
          <w:rFonts w:ascii="Arial" w:eastAsia="Times New Roman" w:hAnsi="Arial" w:cs="Arial"/>
          <w:color w:val="444444"/>
          <w:sz w:val="23"/>
          <w:szCs w:val="23"/>
          <w:lang w:eastAsia="ru-RU"/>
        </w:rPr>
        <w:pict>
          <v:shape id="_x0000_i1026" type="#_x0000_t75" alt="" style="width:153pt;height:102pt"/>
        </w:pict>
      </w:r>
    </w:p>
    <w:p w:rsidR="00A426DE" w:rsidRPr="00A426DE" w:rsidRDefault="00A426DE" w:rsidP="00A426DE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A426DE" w:rsidRPr="00A426DE" w:rsidRDefault="00A426DE" w:rsidP="00A426DE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lastRenderedPageBreak/>
        <w:t>Режим работы</w:t>
      </w:r>
    </w:p>
    <w:p w:rsidR="00A426DE" w:rsidRPr="00A426DE" w:rsidRDefault="00A426DE" w:rsidP="00A426DE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телефонов «горячей линии» по вопросам организации и проведения итогового сочинения (изложения) </w:t>
      </w:r>
      <w:proofErr w:type="gramStart"/>
      <w:r w:rsidRPr="00A426D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A426D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A426D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Кореновском</w:t>
      </w:r>
      <w:proofErr w:type="gramEnd"/>
      <w:r w:rsidRPr="00A426D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районе в 202</w:t>
      </w:r>
      <w:r w:rsidR="00096D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3</w:t>
      </w:r>
      <w:r w:rsidRPr="00A426D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-202</w:t>
      </w:r>
      <w:r w:rsidR="00096D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4</w:t>
      </w:r>
      <w:r w:rsidRPr="00A426D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 учебном году</w:t>
      </w:r>
    </w:p>
    <w:p w:rsidR="00A426DE" w:rsidRPr="00A426DE" w:rsidRDefault="00A426DE" w:rsidP="00A426DE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928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17"/>
        <w:gridCol w:w="3299"/>
        <w:gridCol w:w="3265"/>
      </w:tblGrid>
      <w:tr w:rsidR="00A426DE" w:rsidRPr="00A426DE" w:rsidTr="00096DD6">
        <w:trPr>
          <w:trHeight w:val="605"/>
        </w:trPr>
        <w:tc>
          <w:tcPr>
            <w:tcW w:w="27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6DE" w:rsidRPr="00A426DE" w:rsidRDefault="00A426DE" w:rsidP="00A42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  <w:r w:rsidRPr="00A426DE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Краевая «горячая линия»</w:t>
            </w:r>
          </w:p>
        </w:tc>
        <w:tc>
          <w:tcPr>
            <w:tcW w:w="3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6DE" w:rsidRPr="00A426DE" w:rsidRDefault="00A426DE" w:rsidP="00A42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  <w:r w:rsidRPr="00A426DE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Телефоны «горячей линии»</w:t>
            </w:r>
          </w:p>
        </w:tc>
        <w:tc>
          <w:tcPr>
            <w:tcW w:w="3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6DE" w:rsidRPr="00A426DE" w:rsidRDefault="00A426DE" w:rsidP="00A42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  <w:r w:rsidRPr="00A426DE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Режим работы телефонов «горячей линии»</w:t>
            </w:r>
          </w:p>
        </w:tc>
      </w:tr>
      <w:tr w:rsidR="00A426DE" w:rsidRPr="00A426DE" w:rsidTr="00096DD6">
        <w:trPr>
          <w:trHeight w:val="13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26DE" w:rsidRPr="00A426DE" w:rsidRDefault="00A426DE" w:rsidP="00A4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6DE" w:rsidRPr="00A426DE" w:rsidRDefault="00A426DE" w:rsidP="00A42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  <w:r w:rsidRPr="00A426DE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+7(918) 189-99-02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6DE" w:rsidRPr="00A426DE" w:rsidRDefault="00A426DE" w:rsidP="00A42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  <w:r w:rsidRPr="00A426D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с 09.00 до 18.00 часов (понедельник – пятница)</w:t>
            </w:r>
          </w:p>
        </w:tc>
      </w:tr>
    </w:tbl>
    <w:p w:rsidR="00A426DE" w:rsidRPr="00A426DE" w:rsidRDefault="00A426DE" w:rsidP="00A426DE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42"/>
        <w:gridCol w:w="3251"/>
        <w:gridCol w:w="3265"/>
        <w:gridCol w:w="348"/>
      </w:tblGrid>
      <w:tr w:rsidR="00A426DE" w:rsidRPr="00A426DE" w:rsidTr="00A426DE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6DE" w:rsidRPr="00A426DE" w:rsidRDefault="00A426DE" w:rsidP="00A42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  <w:r w:rsidRPr="00A426DE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Организация</w:t>
            </w:r>
          </w:p>
          <w:p w:rsidR="00A426DE" w:rsidRPr="00A426DE" w:rsidRDefault="00A426DE" w:rsidP="00A42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  <w:r w:rsidRPr="00A426DE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6DE" w:rsidRPr="00A426DE" w:rsidRDefault="00A426DE" w:rsidP="00A42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  <w:r w:rsidRPr="00A426DE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Телефоны «горячей линии»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6DE" w:rsidRPr="00A426DE" w:rsidRDefault="00A426DE" w:rsidP="00A42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  <w:r w:rsidRPr="00A426DE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Режим работы телефонов «горячей линии»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426DE" w:rsidRPr="00A426DE" w:rsidRDefault="00A426DE" w:rsidP="00A426DE">
            <w:pPr>
              <w:spacing w:after="36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  <w:r w:rsidRPr="00A426DE"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  <w:t> </w:t>
            </w:r>
          </w:p>
        </w:tc>
      </w:tr>
      <w:tr w:rsidR="00A426DE" w:rsidRPr="00A426DE" w:rsidTr="00A426DE">
        <w:trPr>
          <w:trHeight w:val="276"/>
        </w:trPr>
        <w:tc>
          <w:tcPr>
            <w:tcW w:w="28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6DE" w:rsidRPr="00A426DE" w:rsidRDefault="00A426DE" w:rsidP="00A42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  <w:r w:rsidRPr="00A426D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6DE" w:rsidRPr="00A426DE" w:rsidRDefault="00A426DE" w:rsidP="00A4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6DE" w:rsidRPr="00A426DE" w:rsidRDefault="00A426DE" w:rsidP="00A4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426DE" w:rsidRPr="00A426DE" w:rsidRDefault="00A426DE" w:rsidP="00A426DE">
            <w:pPr>
              <w:spacing w:after="0" w:line="36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A426DE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</w:tr>
      <w:tr w:rsidR="00A426DE" w:rsidRPr="00A426DE" w:rsidTr="00A426D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26DE" w:rsidRPr="00A426DE" w:rsidRDefault="00A426DE" w:rsidP="00A4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6DE" w:rsidRPr="00A426DE" w:rsidRDefault="00A426DE" w:rsidP="00A42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  <w:r w:rsidRPr="00A426D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+7(861-42)414-60</w:t>
            </w:r>
          </w:p>
          <w:p w:rsidR="00A426DE" w:rsidRPr="00A426DE" w:rsidRDefault="00A426DE" w:rsidP="00A42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  <w:r w:rsidRPr="00A426D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26DE" w:rsidRPr="00A426DE" w:rsidRDefault="00A426DE" w:rsidP="00A42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  <w:r w:rsidRPr="00A426D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  +7(918)638-52-55</w:t>
            </w:r>
          </w:p>
          <w:p w:rsidR="00A426DE" w:rsidRPr="00A426DE" w:rsidRDefault="00A426DE" w:rsidP="00A42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  <w:r w:rsidRPr="00A426D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26DE" w:rsidRPr="00A426DE" w:rsidRDefault="00A426DE" w:rsidP="00A42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  <w:r w:rsidRPr="00A426D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+7(918)153-18-90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6DE" w:rsidRPr="00A426DE" w:rsidRDefault="00A426DE" w:rsidP="00A42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  <w:r w:rsidRPr="00A426D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с 09.00 до 18.00 часов (понедельник – пятница)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426DE" w:rsidRPr="00A426DE" w:rsidRDefault="00A426DE" w:rsidP="00A426DE">
            <w:pPr>
              <w:spacing w:after="36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  <w:r w:rsidRPr="00A426DE"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  <w:t> </w:t>
            </w:r>
          </w:p>
        </w:tc>
      </w:tr>
    </w:tbl>
    <w:p w:rsidR="00A426DE" w:rsidRPr="00A426DE" w:rsidRDefault="00A426DE" w:rsidP="00A426DE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Режим работы</w:t>
      </w:r>
    </w:p>
    <w:p w:rsidR="00A426DE" w:rsidRPr="00A426DE" w:rsidRDefault="00A426DE" w:rsidP="00A426DE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телефонов «горячей линии» по вопросам организации и проведения итогового сочинения (изложения) </w:t>
      </w:r>
      <w:proofErr w:type="gramStart"/>
      <w:r w:rsidRPr="00A426D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A426D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A426D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Кореновском</w:t>
      </w:r>
      <w:proofErr w:type="gramEnd"/>
      <w:r w:rsidRPr="00A426D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районе в 2024-2025  учебном году</w:t>
      </w:r>
    </w:p>
    <w:p w:rsidR="00A426DE" w:rsidRPr="00A426DE" w:rsidRDefault="00A426DE" w:rsidP="00A426DE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926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13"/>
        <w:gridCol w:w="3293"/>
        <w:gridCol w:w="3260"/>
      </w:tblGrid>
      <w:tr w:rsidR="00A426DE" w:rsidRPr="00A426DE" w:rsidTr="00096DD6">
        <w:trPr>
          <w:trHeight w:val="620"/>
        </w:trPr>
        <w:tc>
          <w:tcPr>
            <w:tcW w:w="2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6DE" w:rsidRPr="00A426DE" w:rsidRDefault="00A426DE" w:rsidP="00A42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  <w:r w:rsidRPr="00A426DE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Краевая «горячая линия»</w:t>
            </w:r>
          </w:p>
        </w:tc>
        <w:tc>
          <w:tcPr>
            <w:tcW w:w="32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6DE" w:rsidRPr="00A426DE" w:rsidRDefault="00A426DE" w:rsidP="00A42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  <w:r w:rsidRPr="00A426DE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Телефоны «горячей линии»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6DE" w:rsidRPr="00A426DE" w:rsidRDefault="00A426DE" w:rsidP="00A42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  <w:r w:rsidRPr="00A426DE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Режим работы телефонов «горячей линии»</w:t>
            </w:r>
          </w:p>
        </w:tc>
      </w:tr>
      <w:tr w:rsidR="00A426DE" w:rsidRPr="00A426DE" w:rsidTr="00096DD6">
        <w:trPr>
          <w:trHeight w:val="13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26DE" w:rsidRPr="00A426DE" w:rsidRDefault="00A426DE" w:rsidP="00A4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6DE" w:rsidRPr="00A426DE" w:rsidRDefault="00A426DE" w:rsidP="00A42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  <w:r w:rsidRPr="00A426DE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+7(918) 189-99-02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6DE" w:rsidRPr="00A426DE" w:rsidRDefault="00A426DE" w:rsidP="00A42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  <w:r w:rsidRPr="00A426D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с 09.00 до 18.00 часов (понедельник – пятница)</w:t>
            </w:r>
          </w:p>
        </w:tc>
      </w:tr>
    </w:tbl>
    <w:p w:rsidR="00A426DE" w:rsidRPr="00A426DE" w:rsidRDefault="00A426DE" w:rsidP="00A426DE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42"/>
        <w:gridCol w:w="3251"/>
        <w:gridCol w:w="3265"/>
        <w:gridCol w:w="348"/>
      </w:tblGrid>
      <w:tr w:rsidR="00A426DE" w:rsidRPr="00A426DE" w:rsidTr="00A426DE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6DE" w:rsidRPr="00A426DE" w:rsidRDefault="00A426DE" w:rsidP="00A42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  <w:r w:rsidRPr="00A426DE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Организация</w:t>
            </w:r>
          </w:p>
          <w:p w:rsidR="00A426DE" w:rsidRPr="00A426DE" w:rsidRDefault="00A426DE" w:rsidP="00A42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  <w:r w:rsidRPr="00A426DE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6DE" w:rsidRPr="00A426DE" w:rsidRDefault="00A426DE" w:rsidP="00A42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  <w:r w:rsidRPr="00A426DE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Телефоны «горячей линии»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6DE" w:rsidRPr="00A426DE" w:rsidRDefault="00A426DE" w:rsidP="00A42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  <w:r w:rsidRPr="00A426DE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Режим работы телефонов «горячей линии»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426DE" w:rsidRPr="00A426DE" w:rsidRDefault="00A426DE" w:rsidP="00A426DE">
            <w:pPr>
              <w:spacing w:after="36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  <w:r w:rsidRPr="00A426DE"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  <w:t> </w:t>
            </w:r>
          </w:p>
        </w:tc>
      </w:tr>
      <w:tr w:rsidR="00A426DE" w:rsidRPr="00A426DE" w:rsidTr="00A426DE">
        <w:trPr>
          <w:trHeight w:val="276"/>
        </w:trPr>
        <w:tc>
          <w:tcPr>
            <w:tcW w:w="28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6DE" w:rsidRPr="00A426DE" w:rsidRDefault="00A426DE" w:rsidP="00A42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  <w:r w:rsidRPr="00A426D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6DE" w:rsidRPr="00A426DE" w:rsidRDefault="00A426DE" w:rsidP="00A4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6DE" w:rsidRPr="00A426DE" w:rsidRDefault="00A426DE" w:rsidP="00A4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426DE" w:rsidRPr="00A426DE" w:rsidRDefault="00A426DE" w:rsidP="00A426DE">
            <w:pPr>
              <w:spacing w:after="0" w:line="36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A426DE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</w:tr>
      <w:tr w:rsidR="00A426DE" w:rsidRPr="00A426DE" w:rsidTr="00A426D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26DE" w:rsidRPr="00A426DE" w:rsidRDefault="00A426DE" w:rsidP="00A4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6DE" w:rsidRPr="00A426DE" w:rsidRDefault="00A426DE" w:rsidP="00A42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  <w:r w:rsidRPr="00A426D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+7(861-42)414-60</w:t>
            </w:r>
          </w:p>
          <w:p w:rsidR="00A426DE" w:rsidRPr="00A426DE" w:rsidRDefault="00A426DE" w:rsidP="00A42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  <w:r w:rsidRPr="00A426D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26DE" w:rsidRPr="00A426DE" w:rsidRDefault="00A426DE" w:rsidP="00A42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  <w:r w:rsidRPr="00A426D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  +7(918)638-52-55</w:t>
            </w:r>
          </w:p>
          <w:p w:rsidR="00A426DE" w:rsidRPr="00A426DE" w:rsidRDefault="00A426DE" w:rsidP="00A42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  <w:r w:rsidRPr="00A426D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26DE" w:rsidRPr="00A426DE" w:rsidRDefault="00A426DE" w:rsidP="00A42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  <w:r w:rsidRPr="00A426D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+7(918)153-18-90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6DE" w:rsidRPr="00A426DE" w:rsidRDefault="00A426DE" w:rsidP="00A42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  <w:r w:rsidRPr="00A426D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с 09.00 до 18.00 часов (понедельник – пятница)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426DE" w:rsidRPr="00A426DE" w:rsidRDefault="00A426DE" w:rsidP="00A426DE">
            <w:pPr>
              <w:spacing w:after="36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  <w:r w:rsidRPr="00A426DE"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  <w:t> </w:t>
            </w:r>
          </w:p>
        </w:tc>
      </w:tr>
    </w:tbl>
    <w:p w:rsidR="00A426DE" w:rsidRPr="00A426DE" w:rsidRDefault="00A426DE" w:rsidP="00A426DE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 </w:t>
      </w:r>
    </w:p>
    <w:p w:rsidR="00A426DE" w:rsidRPr="00A426DE" w:rsidRDefault="00A426DE" w:rsidP="00A426DE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A426DE" w:rsidRPr="00A426DE" w:rsidRDefault="00A426DE" w:rsidP="00A426DE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Телефоны «горячей линии»</w:t>
      </w:r>
    </w:p>
    <w:p w:rsidR="00096DD6" w:rsidRDefault="00A426DE" w:rsidP="00A426DE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A426D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по вопросам организации и проведения итогового сочинения (изложения) в МАНОУ СОШ</w:t>
      </w:r>
      <w:r w:rsidR="00096D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426D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№</w:t>
      </w:r>
      <w:r w:rsidR="00096D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4</w:t>
      </w:r>
      <w:r w:rsidRPr="00A426D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 им. </w:t>
      </w:r>
      <w:r w:rsidR="00096D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В. Чикмезова </w:t>
      </w:r>
    </w:p>
    <w:p w:rsidR="00A426DE" w:rsidRPr="00A426DE" w:rsidRDefault="00A426DE" w:rsidP="00A426DE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 МО Кореновский район</w:t>
      </w:r>
    </w:p>
    <w:p w:rsidR="00A426DE" w:rsidRPr="00A426DE" w:rsidRDefault="00A426DE" w:rsidP="00A426DE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в 2024-2025 учебном году</w:t>
      </w:r>
    </w:p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02"/>
        <w:gridCol w:w="3402"/>
        <w:gridCol w:w="3402"/>
      </w:tblGrid>
      <w:tr w:rsidR="00A426DE" w:rsidRPr="00A426DE" w:rsidTr="00A426DE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6DE" w:rsidRPr="00A426DE" w:rsidRDefault="00A426DE" w:rsidP="00A42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  <w:r w:rsidRPr="00A426DE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Телефон «горячей линии»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6DE" w:rsidRPr="00A426DE" w:rsidRDefault="00A426DE" w:rsidP="00A42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  <w:r w:rsidRPr="00A426DE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Режим работы телефона «горячей линии»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6DE" w:rsidRPr="00A426DE" w:rsidRDefault="00A426DE" w:rsidP="00A42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  <w:r w:rsidRPr="00A426DE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Ф.И.О. и должность ответственного за работу телефона «горячей линии»</w:t>
            </w:r>
          </w:p>
        </w:tc>
      </w:tr>
      <w:tr w:rsidR="00A426DE" w:rsidRPr="00A426DE" w:rsidTr="00A426DE"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6DE" w:rsidRPr="00A426DE" w:rsidRDefault="00A426DE" w:rsidP="00A42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  <w:r w:rsidRPr="00A426DE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8 (86142)</w:t>
            </w:r>
            <w:r w:rsidR="00096DD6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21126</w:t>
            </w:r>
          </w:p>
          <w:p w:rsidR="00A426DE" w:rsidRPr="00A426DE" w:rsidRDefault="00A426DE" w:rsidP="00096D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  <w:r w:rsidRPr="00A426DE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89</w:t>
            </w:r>
            <w:r w:rsidR="00096DD6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882883832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D6" w:rsidRDefault="00A426DE" w:rsidP="00A42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426DE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 xml:space="preserve">С 8.00 до 17.00 в рабочие дни. </w:t>
            </w:r>
          </w:p>
          <w:p w:rsidR="00A426DE" w:rsidRPr="00A426DE" w:rsidRDefault="00A426DE" w:rsidP="00A42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  <w:r w:rsidRPr="00A426DE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В день проведения экзамена с 7.00 до 18.00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DD6" w:rsidRDefault="00096DD6" w:rsidP="00A42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 xml:space="preserve">Баблиян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Анаит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Гагиковна</w:t>
            </w:r>
            <w:proofErr w:type="spellEnd"/>
            <w:r w:rsidR="00A426DE" w:rsidRPr="00A426DE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</w:p>
          <w:p w:rsidR="00A426DE" w:rsidRPr="00A426DE" w:rsidRDefault="00096DD6" w:rsidP="00A42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заместитель директора по У</w:t>
            </w:r>
            <w:r w:rsidR="00A426DE" w:rsidRPr="00A426DE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</w:p>
        </w:tc>
      </w:tr>
    </w:tbl>
    <w:p w:rsidR="00A426DE" w:rsidRPr="00A426DE" w:rsidRDefault="00A426DE" w:rsidP="00A426DE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426D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096DD6" w:rsidRPr="00A426DE" w:rsidRDefault="00096DD6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sectPr w:rsidR="00096DD6" w:rsidRPr="00A426DE" w:rsidSect="004E5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6DE"/>
    <w:rsid w:val="00096DD6"/>
    <w:rsid w:val="004E5C04"/>
    <w:rsid w:val="00A42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6D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2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426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0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coi02.ru/gia11_result/" TargetMode="External"/><Relationship Id="rId5" Type="http://schemas.openxmlformats.org/officeDocument/2006/relationships/hyperlink" Target="http://obrnadzor.gov.ru/gia/gia-11/itogovoe-sochinenie-izlozhenie/" TargetMode="External"/><Relationship Id="rId4" Type="http://schemas.openxmlformats.org/officeDocument/2006/relationships/hyperlink" Target="https://fipi.ru/itogovoe-sochin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3358</Words>
  <Characters>19145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2024-10-21T12:47:00Z</dcterms:created>
  <dcterms:modified xsi:type="dcterms:W3CDTF">2024-10-21T13:00:00Z</dcterms:modified>
</cp:coreProperties>
</file>